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2238" w:rsidRDefault="002E2238" w:rsidP="002E2238">
      <w:pPr>
        <w:rPr>
          <w:rFonts w:ascii="Tahoma" w:hAnsi="Tahoma" w:cs="Tahoma"/>
          <w:b/>
        </w:rPr>
      </w:pPr>
      <w:bookmarkStart w:id="0" w:name="_GoBack"/>
      <w:bookmarkEnd w:id="0"/>
      <w:r>
        <w:rPr>
          <w:rFonts w:ascii="Tahoma" w:hAnsi="Tahoma" w:cs="Tahoma"/>
          <w:b/>
        </w:rPr>
        <w:t>11   Grenzstein 236</w:t>
      </w:r>
    </w:p>
    <w:p w:rsidR="002E2238" w:rsidRDefault="002E2238" w:rsidP="002E2238">
      <w:pPr>
        <w:rPr>
          <w:rFonts w:ascii="Tahoma" w:hAnsi="Tahoma" w:cs="Tahoma"/>
        </w:rPr>
      </w:pPr>
      <w:r>
        <w:rPr>
          <w:rFonts w:ascii="Tahoma" w:hAnsi="Tahoma" w:cs="Tahoma"/>
        </w:rPr>
        <w:t xml:space="preserve">Bezeichnungen: </w:t>
      </w:r>
      <w:r w:rsidRPr="00587A39">
        <w:rPr>
          <w:rFonts w:ascii="Tahoma" w:hAnsi="Tahoma" w:cs="Tahoma"/>
          <w:b/>
        </w:rPr>
        <w:t xml:space="preserve">G </w:t>
      </w:r>
      <w:proofErr w:type="gramStart"/>
      <w:r w:rsidRPr="00587A39">
        <w:rPr>
          <w:rFonts w:ascii="Tahoma" w:hAnsi="Tahoma" w:cs="Tahoma"/>
          <w:b/>
        </w:rPr>
        <w:t>H</w:t>
      </w:r>
      <w:r>
        <w:rPr>
          <w:rFonts w:ascii="Tahoma" w:hAnsi="Tahoma" w:cs="Tahoma"/>
        </w:rPr>
        <w:t xml:space="preserve">  </w:t>
      </w:r>
      <w:r w:rsidRPr="003F3A1A">
        <w:rPr>
          <w:rFonts w:ascii="Tahoma" w:hAnsi="Tahoma" w:cs="Tahoma"/>
          <w:b/>
        </w:rPr>
        <w:t>1869</w:t>
      </w:r>
      <w:proofErr w:type="gramEnd"/>
      <w:r>
        <w:rPr>
          <w:rFonts w:ascii="Tahoma" w:hAnsi="Tahoma" w:cs="Tahoma"/>
        </w:rPr>
        <w:t xml:space="preserve"> (Vorderseite) beziehungsweise </w:t>
      </w:r>
      <w:r w:rsidRPr="00587A39">
        <w:rPr>
          <w:rFonts w:ascii="Tahoma" w:hAnsi="Tahoma" w:cs="Tahoma"/>
          <w:b/>
        </w:rPr>
        <w:t>K P</w:t>
      </w:r>
      <w:r>
        <w:rPr>
          <w:rFonts w:ascii="Tahoma" w:hAnsi="Tahoma" w:cs="Tahoma"/>
        </w:rPr>
        <w:t xml:space="preserve">  </w:t>
      </w:r>
      <w:r w:rsidRPr="003F3A1A">
        <w:rPr>
          <w:rFonts w:ascii="Tahoma" w:hAnsi="Tahoma" w:cs="Tahoma"/>
          <w:b/>
        </w:rPr>
        <w:t>69</w:t>
      </w:r>
      <w:r>
        <w:rPr>
          <w:rFonts w:ascii="Tahoma" w:hAnsi="Tahoma" w:cs="Tahoma"/>
        </w:rPr>
        <w:t xml:space="preserve"> (Rückseite) sowie jeweils unkenntlich gemachte Stellen. </w:t>
      </w:r>
    </w:p>
    <w:p w:rsidR="002E2238" w:rsidRDefault="002E2238" w:rsidP="002E2238">
      <w:pPr>
        <w:rPr>
          <w:rFonts w:ascii="Tahoma" w:hAnsi="Tahoma" w:cs="Tahoma"/>
        </w:rPr>
      </w:pPr>
      <w:r>
        <w:rPr>
          <w:rFonts w:ascii="Tahoma" w:hAnsi="Tahoma" w:cs="Tahoma"/>
        </w:rPr>
        <w:t>Dies hier ist auch der letzte Grenzstein, der auf dieser Route explizit beschrieben und angelaufen wird. Als Fazit können wir festhalten, dass „unsere“ Grenzsteine aus unterschiedlichen Epochen stammen, was durch die unterschiedlichen Bezeichnungen beziehungsweise durch eine eingravierte Jahreszahl sichtbar wird, und zu unterschiedlichen Zwecken gesetzt wurden. Auch in Bezug auf Form und Gestaltung der Steine sind große Unterschiede erkennbar.</w:t>
      </w:r>
    </w:p>
    <w:sectPr w:rsidR="002E223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238"/>
    <w:rsid w:val="002E2238"/>
    <w:rsid w:val="007B31F9"/>
    <w:rsid w:val="00E35D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D56016-FFBC-42B3-BCA3-77ED78FBC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E223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508</Characters>
  <Application>Microsoft Office Word</Application>
  <DocSecurity>4</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Lisa Hammer</cp:lastModifiedBy>
  <cp:revision>2</cp:revision>
  <dcterms:created xsi:type="dcterms:W3CDTF">2026-08-11T08:05:00Z</dcterms:created>
  <dcterms:modified xsi:type="dcterms:W3CDTF">2026-08-11T08:05:00Z</dcterms:modified>
</cp:coreProperties>
</file>